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Massmart Services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Best Print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#-012644Go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2020/05/16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Social Media Graphics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461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788.77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6741.45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8693582.9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530885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NedBank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870534000370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