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SANDOZ AG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10-09-2021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INUMB_00085845Gk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 No.00098278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Telkom SA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Same-Day Delivery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216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470.57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4761.76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5209253.0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437189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