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Coca-Cola Beverages South Africa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INV_020671Va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Bigen Africa Services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-919-6790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Black Pens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113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250.42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2024.21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687183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Bigen Africa Services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60198263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