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Massmart Services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#-012644Go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Best Print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015 -  -806-6668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Social Media Graphics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461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788.77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6741.45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530885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Best Print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NedBank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870534000370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