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Hirophase (Pty) Ltd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Paramount Property Fund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B-026312Hj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Paramount Property Fund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21/01/2023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Themed Catering 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272.22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9317.0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463836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Paramount Property Fund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ABSA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157976000370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