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Julius Bär  Co. Ltd.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Heyns  Partners Inc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INUMB_24327Ya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Heyns  Partners Inc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28/07/21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409.96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3914.1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491860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Heyns  Partners Inc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28363374155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