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Life Healthcare Group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Agility Channel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#NUMB- 0000083642Sr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Agility Channel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05-21-2022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527.37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6634.22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313529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Agility Channel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45811294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