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26 May-2023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Liberty Group Limited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071 -  -753-4734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390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R719.08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R4857.54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390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R719.08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R4857.54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R6965653.0 </w:t>
      </w:r>
      <w:r>
        <w:rPr>
          <w:color w:val="535353"/>
          <w:w w:val="130"/>
        </w:rPr>
        <w:t xml:space="preserve">R496291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