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Norman Wink Stephens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065 -  -987-0688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20 Oct-2021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Norman Wink Stephens@gmail.com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USB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67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R552.42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R6720.49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R800053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