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Exxaro Resources Ltd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Business Connexion Namibia (Pty) Ltd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2022-08-11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INUMB_0000014241Gb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'PO No_055796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Logo Design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292.9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433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6630.71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6630.71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346113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