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Hastings Insurance Services Ltd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Andre Schoombee Attorneys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29/08/2021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INUMB_97122Ud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#@_0085830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Website Design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895.42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375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3007.13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3007.13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554002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