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Netcare Garden City Hospital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Gemprint (Pty)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10-Dec-2021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INUMB_30047Jf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'PO No-93642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228.35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489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7770.13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7770.13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218011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