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Faurecia Emissions Control Technologies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Johan Bosch Trust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INV_024188Ho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May 22, 2023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On-Site Tech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612.13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R9482.65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R975547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NedBank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912483000370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