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Life Healthcare Group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Agility Channel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#NUMB- 0000083642Sr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05-21-2022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640.26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179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R6634.22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R313529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45811294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