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Pioneer Hi-Bred RSA Pty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Global EntServ Solutions Galway Limited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#0000038235Rh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07-26-2022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Financial Consulting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421.74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200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R8082.35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R795656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Empty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56444507188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