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Shoprite Checkers (Pty)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Tatu Connect Limited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#-00094750He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11-February-2022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Basic Buffet Catering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54.49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R9779.2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R486269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Empty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81865234705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