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CORRUSEAL WESTERN CAPE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30/08/2023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##000016026Jb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PO#0000075359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Foskor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Photography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298.24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298.24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R470154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4527764267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068 -  -913-9641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