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Department of Water and Sanitation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2023-12-04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INUMB_00020265De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 0000068354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Caritas Schweiz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Basic Buffet Catering 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66.41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66.41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R827136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5649732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FNB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065 -  -965-5610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