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Arena Holdings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The National School of Government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29/06/2023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095 -  -931-3703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The National School of Government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##-010796Kd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Hardcover Books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26.96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237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1445.76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1445.76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R951250.67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946194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