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Julius Bär  Co. Ltd.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Heyns  Partners Inc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28/07/21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Address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063 -  -737-7997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Heyns  Partners Inc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INUMB_24327Ya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Remote Tech Support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887.03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273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3914.1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3914.1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R803001.5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491860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