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Libstar Operations (Pty)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Radisson hotel  convention centre Johannesburg OR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2022/04/29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Address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011 -  -736-7574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Radisson hotel  convention centre Johannesburg OR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##0080919Fd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Website Design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530.92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166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7655.54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7655.54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R3177737.57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268734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