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Tsebo Facilities Solutions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Air Liquide Large Industries South Africa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28/Apr/2023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010 -  -981-6795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Air Liquide Large Industries South Africa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#07385Uk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Website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240.31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167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3743.77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3743.77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R4477476.0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517116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