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Pazozone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INVOICE:065078Km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Old Mutual Life Assurance Company (SA)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Jul 03, 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A5 Flyers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153.63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4695.29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R985570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Discovery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87213993683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