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3M South Africa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##085337Py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05/06/2021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Nampak Products Limited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-968-7050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53 Brunton Circle,1645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011 -  -750-0561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USB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637.82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9192.03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5398072.0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646355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7003679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