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Control Systems Integration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#NUMB- 000055359Qd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2021/12/04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TCM Management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15 B. Molokoane Road,Hout Bay,7872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015 -  -845-4997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11 Westcliff Drive,Johannesburg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080 -  -987-3928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T-shirts                             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334.92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1439.47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2141826.0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525385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Empty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80902244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