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Control Systems Integration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#NUMB- 000055359Qd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TCM Management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80902244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T-shirts                             </w:t>
      </w:r>
      <w:r>
        <w:rPr>
          <w:color w:val="101010"/>
        </w:rPr>
        <w:tab/>
      </w:r>
      <w:r>
        <w:rPr>
          <w:rStyle w:val="ui-provider"/>
        </w:rPr>
        <w:t xml:space="preserve">111.14</w:t>
      </w:r>
      <w:r>
        <w:rPr>
          <w:color w:val="101010"/>
        </w:rPr>
        <w:tab/>
      </w:r>
      <w:r>
        <w:rPr>
          <w:rStyle w:val="ui-provider"/>
        </w:rPr>
        <w:t xml:space="preserve">6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1439.47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2141826.0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R525385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