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011 -  -805-3515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NedBank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94518408194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NedBank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94518408194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Stone on Time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28 Dec 22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INVOICE:0000043510Mt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Stone on Time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28 Dec 22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INVOICE:0000043510Mt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Guard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Guard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Guard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411.01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411.01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411.01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412078.0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678521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