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##-0000030996Hb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2020/11/22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084 -  -935-0665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Tracker Connect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021 -  -777-3294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16982723835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T-shirts                             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462.14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2432806.87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980688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2432806.87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980688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5570.99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