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29/06/2023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Arena Holdings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14 Bonanza Street,2092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095 -  -928-4384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The National School of Government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4406 Pilane Street,Soweto,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##-010796Kd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NUM-0082759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Delivery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237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961.09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1445.76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1445.76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946194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