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10-Dec-2021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Coega Development Corporation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Braambos Lane,7347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071 -  -891-3969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City Of Cape Town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Close,CPT, 6478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INVO: 37407Vj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'PO No-082135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Delivery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145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642.49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8248.64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8248.64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906265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