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May 22, 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Faurecia Emissions Control Technologies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Athlone, Cape Town,7764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010 -  -918-1800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Johan Bosch Trust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INV_024188Ho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@-0023401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8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679.05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9482.65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9482.65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975547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