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Life Healthcare Group (Pty)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14 Bonanza Street,2092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063 -  -888-3157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Agility Channel (Pty) Ltd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354 Main Street,Gauteng,2008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010 -  -757-5445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Agility Channel (Pty) Ltd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354 Main Street,Gauteng,2008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010 -  -757-5445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05-21-2022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#NUMB- 0000083642Sr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PO #_0021645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05-21-2022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#NUMB- 0000083642Sr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PO #_0021645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Social Media Graphics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179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2921865.09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6634.22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313529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313529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FNB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45811294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