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Mayuriza Pty Ltd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14 Bonanza Street,2092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INV-0096541Le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30/09/23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Nike South Africa (Pty) Ltd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11 Westcliff Drive,Johannesburg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Graphic Design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746.78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9410.95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Social Media Graphics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236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313.05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9410.95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R5584281.0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9410.95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