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Change Logic CS (Pty) Ltd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07/16/2020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ROSEHAVEN RETIREMENT VILLAGE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060 -  -912-8142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23 Martin Close,2054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Gift Bags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409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68.39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8684.89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Gift Bags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409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68.39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8684.89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17069217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2822249.0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258701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