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Samsung Electronics South Africa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Bluefields centre for Challenge Funds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011 -  -700-8777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06-08-2020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Bluefields centre for Challenge Funds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Close,2054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469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977.18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1694.9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6288299.99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737740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