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Esayidi FET College Centre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Close,2054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#_000097217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Agility Holdings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32 Denne Crescent,Western Cape,7347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10-01-2023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#000093450Wy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#_000097217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Financial Consulting</w:t>
      </w:r>
      <w:r w:rsidR="00000000">
        <w:tab/>
      </w:r>
      <w:r>
        <w:rPr>
          <w:rStyle w:val="ui-provider"/>
        </w:rPr>
        <w:t xml:space="preserve">286</w:t>
      </w:r>
      <w:r>
        <w:t xml:space="preserve">        </w:t>
      </w:r>
      <w:r>
        <w:rPr>
          <w:rStyle w:val="ui-provider"/>
        </w:rPr>
        <w:t xml:space="preserve">901.12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8657321.04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2282401.0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12895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10-01-2023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32 Denne Crescent,Western Cape,7347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