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Heyns  Partners Inc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53 Brunton Circle,1645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@VAT_#_88829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Julius Bär  Co. Ltd.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 Westcliff Drive,Gauteng,2001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28/07/21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INUMB_24327Ya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@VAT_#_88829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Remote Tech Support</w:t>
      </w:r>
      <w:r w:rsidR="00000000">
        <w:tab/>
      </w:r>
      <w:r>
        <w:rPr>
          <w:rStyle w:val="ui-provider"/>
        </w:rPr>
        <w:t xml:space="preserve">273</w:t>
      </w:r>
      <w:r>
        <w:t xml:space="preserve">        </w:t>
      </w:r>
      <w:r>
        <w:rPr>
          <w:rStyle w:val="ui-provider"/>
        </w:rPr>
        <w:t xml:space="preserve">887.03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7878282.0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803001.5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491860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28/07/21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 Westcliff Drive,Gauteng,2001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