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Spine Africa Association (Pty) Ltd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11 Westcliff Drive,Johannesburg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#VAT00002428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Lake Michelle Homeowners Association NPC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4 Southern Right Circle,City of Cape Town,7579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29-September-2023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##-00072938Fy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#VAT00002428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Local Courier Service</w:t>
      </w:r>
      <w:r w:rsidR="00000000">
        <w:tab/>
      </w:r>
      <w:r>
        <w:rPr>
          <w:rStyle w:val="ui-provider"/>
        </w:rPr>
        <w:t xml:space="preserve">364</w:t>
      </w:r>
      <w:r>
        <w:t xml:space="preserve">        </w:t>
      </w:r>
      <w:r>
        <w:rPr>
          <w:rStyle w:val="ui-provider"/>
        </w:rPr>
        <w:t xml:space="preserve">869.53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4053054.92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4033251.0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501601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29-September-2023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4 Southern Right Circle,City of Cape Town,7579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