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Zamlinx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Close,2054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#_62263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Nextec Advisory Services (PL) (In Liquidation)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32 Denne Crescent,Western Cape,7347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31/10/23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#000058736Pe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#_62263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Business Cards</w:t>
      </w:r>
      <w:r w:rsidR="00000000">
        <w:tab/>
      </w:r>
      <w:r>
        <w:rPr>
          <w:rStyle w:val="ui-provider"/>
        </w:rPr>
        <w:t xml:space="preserve">20</w:t>
      </w:r>
      <w:r>
        <w:t xml:space="preserve">        </w:t>
      </w:r>
      <w:r>
        <w:rPr>
          <w:rStyle w:val="ui-provider"/>
        </w:rPr>
        <w:t xml:space="preserve">245.2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7040269.32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3250468.0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2080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31/10/23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32 Denne Crescent,Western Cape,7347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