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Easigas (Pty) Ltd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14 Bonanza Street,Gauteng,6442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VAT No.0031717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PG Glass a Division of PG Group (PTY) Ltd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Witzands Aquifer Nature Reserve, 1 Dassenberg Drive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30-May-2020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INUMB_0000067036Kb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VAT No.0031717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Gift Bags</w:t>
      </w:r>
      <w:r w:rsidR="00000000">
        <w:tab/>
      </w:r>
      <w:r>
        <w:rPr>
          <w:rStyle w:val="ui-provider"/>
        </w:rPr>
        <w:t xml:space="preserve">324</w:t>
      </w:r>
      <w:r>
        <w:t xml:space="preserve">        </w:t>
      </w:r>
      <w:r>
        <w:rPr>
          <w:rStyle w:val="ui-provider"/>
        </w:rPr>
        <w:t xml:space="preserve">451.81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6120388.0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5319786.0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202997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30-May-2020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Witzands Aquifer Nature Reserve, 1 Dassenberg Drive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