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Emfuleni Local Municipality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 Westcliff Drive,Gauteng,2001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370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E-commerce Development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211.48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1931698.03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8224029.2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277458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370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E-commerce Development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211.48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1931698.03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8224029.2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277458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063 -  -742-6920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Emfuleni Local Municipality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September 28, 2020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September 28, 2020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Blaauwklippen Devco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Blaauwklippen Devco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Blaauwklippen Devco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76993313343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INV000052144Sj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September 28, 2020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