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Pioneer Hi-Bred RSA Pty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32 Denne Crescent,Western Cape,7347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200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Financial Consulting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421.74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2112365.34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4212051.0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795656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200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Financial Consulting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421.74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2112365.34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4212051.0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795656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071 -  -936-7226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Pioneer Hi-Bred RSA Pty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07-26-2022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07-26-2022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Global EntServ Solutions Galway Limited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Global EntServ Solutions Galway Limited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Global EntServ Solutions Galway Limited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56444507188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#0000038235Rh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07-26-2022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