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Coca-Cola Beverages South Africa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010 -  -919-7936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Athlone, Cape Town,7764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INV_020671Va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06/12/2022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250.42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9454666.0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250.42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9454666.0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250.42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9454666.0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Black Pens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113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250.42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9454666.0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9084797.23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000020092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687183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60198263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