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Isanti Glass 1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-892-0927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INV-41533Zy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17/08/23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390.1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1423138.93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390.1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1423138.93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390.1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1423138.93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390.1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1423138.93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1210271.0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21083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400401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5803507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