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Department of Home Affairs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015 -  -955-9340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Department of Home Affairs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Witzands Aquifer Nature Reserve, 1 Dassenberg Drive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B-09289Xo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06 May 2021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Kagiso Media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Gauteng,11 Westcliff Drive,7573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068 -  -960-6014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390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Armed Security Gaurd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800.58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Armed Security Gaurd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800.58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3428.46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Armed Security Gaurd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800.58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8139673.0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777805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ABSA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449378000370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