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Medicross Healthcare Group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060 -  -709-1800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Medicross Healthcare Group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Witzands Aquifer Nature Reserve, 1 Dassenberg Drive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#NUMB- 0066887Xb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26 Jan 2022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Africa Vessel Verification CC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Gauteng,11 Westcliff Drive,7573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060 -  -730-6791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23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Guard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817.32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Guard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817.32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9885.01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Guard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817.32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7719952.43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174345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Standard 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78171529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