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Samsung Electronics South Africa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(+214) -  -787-0872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Samsung Electronics South Africa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Pakalolo Table View, 14 Beach Boulevard,7433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#INV045877Ki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06-08-2020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Bluefields centre for Challenge Funds (Pty) Ltd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23 Martin Close,2054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011 -  -700-8777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469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977.18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977.18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1694.9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Armed Security Guard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977.18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6288299.99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737740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NedBank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8005358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