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Toyota SA Motors (Pty) Ltd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 xml:space="preserve"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010 -  -845-9843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Toyota SA Motors (Pty) Ltd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Witzands Aquifer Nature Reserve, 1 Dassenberg Drive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 xml:space="preserve"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BILL_036963Bb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 xml:space="preserve">07/15/21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 xml:space="preserve"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Pragma Products (Pty) Ltd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14 Bonanza Street,Gauteng,6442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+27 -  -782-4142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 xml:space="preserve"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195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On-Site Tech Support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757.18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On-Site Tech Support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757.18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3054.43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On-Site Tech Support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757.18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1609401.65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 xml:space="preserve">761098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 xml:space="preserve"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ABSA</w:t>
      </w:r>
      <w:r w:rsidRPr="00751026">
        <w:rPr>
          <w:rFonts w:ascii="Bradley Hand ITC" w:hAnsi="Bradley Hand ITC"/>
          <w:sz w:val="19"/>
        </w:rPr>
        <w:t xml:space="preserve"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770951000370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