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Nextec Advisory Services (PL) (In Liquidation)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Nextec Advisory Services (PL) (In Liquidation)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32 Denne Crescent,Western Cape,7347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-974-0512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#000058736Pe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31/10/23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Zamlinx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Close,2054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-781-7520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245.2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245.2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8703.71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245.2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3250468.0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2080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116174000370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