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PG Glass a Division of PG Group (PTY) Ltd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PG Glass a Division of PG Group (PTY) Ltd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Witzands Aquifer Nature Reserve, 1 Dassenberg Drive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021 -  -949-5834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INUMB_0000067036Kb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30-May-2020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Easigas (Pty) Ltd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14 Bonanza Street,Gauteng,6442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015 -  -810-0664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324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Gift Bags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451.81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Gift Bags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451.81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8980.41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Gift Bags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451.81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5319786.0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202997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Capitec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790749000370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